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317" w:type="dxa"/>
        <w:tblCellSpacing w:w="0" w:type="dxa"/>
        <w:tblCellMar>
          <w:left w:w="0" w:type="dxa"/>
          <w:right w:w="0" w:type="dxa"/>
        </w:tblCellMar>
        <w:tblLook w:val="04A0" w:firstRow="1" w:lastRow="0" w:firstColumn="1" w:lastColumn="0" w:noHBand="0" w:noVBand="1"/>
      </w:tblPr>
      <w:tblGrid>
        <w:gridCol w:w="13317"/>
      </w:tblGrid>
      <w:tr w:rsidR="006410E3" w:rsidRPr="006410E3" w14:paraId="560505AA" w14:textId="77777777" w:rsidTr="006410E3">
        <w:trPr>
          <w:tblCellSpacing w:w="0" w:type="dxa"/>
        </w:trPr>
        <w:tc>
          <w:tcPr>
            <w:tcW w:w="13317" w:type="dxa"/>
            <w:vAlign w:val="center"/>
            <w:hideMark/>
          </w:tcPr>
          <w:tbl>
            <w:tblPr>
              <w:tblW w:w="10620" w:type="dxa"/>
              <w:tblCellSpacing w:w="0" w:type="dxa"/>
              <w:tblCellMar>
                <w:left w:w="0" w:type="dxa"/>
                <w:right w:w="0" w:type="dxa"/>
              </w:tblCellMar>
              <w:tblLook w:val="04A0" w:firstRow="1" w:lastRow="0" w:firstColumn="1" w:lastColumn="0" w:noHBand="0" w:noVBand="1"/>
            </w:tblPr>
            <w:tblGrid>
              <w:gridCol w:w="10620"/>
            </w:tblGrid>
            <w:tr w:rsidR="006410E3" w:rsidRPr="006410E3" w14:paraId="6CFBEE29" w14:textId="77777777" w:rsidTr="006410E3">
              <w:trPr>
                <w:tblCellSpacing w:w="0" w:type="dxa"/>
              </w:trPr>
              <w:tc>
                <w:tcPr>
                  <w:tcW w:w="10620" w:type="dxa"/>
                  <w:tcBorders>
                    <w:bottom w:val="single" w:sz="4" w:space="0" w:color="auto"/>
                  </w:tcBorders>
                  <w:vAlign w:val="center"/>
                  <w:hideMark/>
                </w:tcPr>
                <w:p w14:paraId="4CB59402" w14:textId="712A845E" w:rsidR="006410E3" w:rsidRPr="006410E3" w:rsidRDefault="006410E3" w:rsidP="006410E3">
                  <w:pPr>
                    <w:rPr>
                      <w:rFonts w:ascii="Times New Roman" w:hAnsi="Times New Roman" w:cs="Times New Roman"/>
                      <w:sz w:val="24"/>
                    </w:rPr>
                  </w:pPr>
                  <w:r w:rsidRPr="006410E3">
                    <w:rPr>
                      <w:rFonts w:ascii="Times New Roman" w:hAnsi="Times New Roman" w:cs="Times New Roman"/>
                      <w:sz w:val="32"/>
                    </w:rPr>
                    <w:t>The 2018 Florida Statues</w:t>
                  </w:r>
                </w:p>
              </w:tc>
            </w:tr>
            <w:tr w:rsidR="006410E3" w:rsidRPr="006410E3" w14:paraId="1DB81005" w14:textId="77777777" w:rsidTr="006410E3">
              <w:trPr>
                <w:tblCellSpacing w:w="0" w:type="dxa"/>
              </w:trPr>
              <w:tc>
                <w:tcPr>
                  <w:tcW w:w="10620" w:type="dxa"/>
                  <w:vAlign w:val="center"/>
                </w:tcPr>
                <w:p w14:paraId="5907DD0D" w14:textId="0A7CE75A" w:rsidR="006410E3" w:rsidRPr="00DE4171" w:rsidRDefault="006410E3" w:rsidP="006410E3">
                  <w:pPr>
                    <w:rPr>
                      <w:rFonts w:ascii="Times New Roman" w:hAnsi="Times New Roman" w:cs="Times New Roman"/>
                    </w:rPr>
                  </w:pPr>
                  <w:hyperlink r:id="rId6" w:anchor="TitleXL" w:history="1">
                    <w:r w:rsidRPr="00DE4171">
                      <w:rPr>
                        <w:rStyle w:val="Hyperlink"/>
                        <w:rFonts w:ascii="Times New Roman" w:hAnsi="Times New Roman" w:cs="Times New Roman"/>
                        <w:color w:val="auto"/>
                      </w:rPr>
                      <w:t>Title XL</w:t>
                    </w:r>
                  </w:hyperlink>
                  <w:r w:rsidRPr="00DE4171">
                    <w:rPr>
                      <w:rFonts w:ascii="Times New Roman" w:hAnsi="Times New Roman" w:cs="Times New Roman"/>
                    </w:rPr>
                    <w:br/>
                    <w:t>REAL</w:t>
                  </w:r>
                  <w:bookmarkStart w:id="0" w:name="_GoBack"/>
                  <w:bookmarkEnd w:id="0"/>
                  <w:r w:rsidRPr="00DE4171">
                    <w:rPr>
                      <w:rFonts w:ascii="Times New Roman" w:hAnsi="Times New Roman" w:cs="Times New Roman"/>
                    </w:rPr>
                    <w:t xml:space="preserve"> AND PERSONAL PROPERTY</w:t>
                  </w:r>
                </w:p>
              </w:tc>
            </w:tr>
            <w:tr w:rsidR="006410E3" w:rsidRPr="006410E3" w14:paraId="43B8457D" w14:textId="77777777" w:rsidTr="006410E3">
              <w:trPr>
                <w:tblCellSpacing w:w="0" w:type="dxa"/>
              </w:trPr>
              <w:tc>
                <w:tcPr>
                  <w:tcW w:w="10620" w:type="dxa"/>
                  <w:vAlign w:val="center"/>
                  <w:hideMark/>
                </w:tcPr>
                <w:p w14:paraId="68716EB3" w14:textId="77777777" w:rsidR="006410E3" w:rsidRPr="00DE4171" w:rsidRDefault="006410E3" w:rsidP="006410E3">
                  <w:pPr>
                    <w:rPr>
                      <w:rFonts w:ascii="Times New Roman" w:hAnsi="Times New Roman" w:cs="Times New Roman"/>
                    </w:rPr>
                  </w:pPr>
                  <w:hyperlink r:id="rId7" w:history="1">
                    <w:r w:rsidRPr="00DE4171">
                      <w:rPr>
                        <w:rStyle w:val="Hyperlink"/>
                        <w:rFonts w:ascii="Times New Roman" w:hAnsi="Times New Roman" w:cs="Times New Roman"/>
                        <w:color w:val="auto"/>
                      </w:rPr>
                      <w:t>Chapter 720</w:t>
                    </w:r>
                  </w:hyperlink>
                  <w:r w:rsidRPr="00DE4171">
                    <w:rPr>
                      <w:rFonts w:ascii="Times New Roman" w:hAnsi="Times New Roman" w:cs="Times New Roman"/>
                    </w:rPr>
                    <w:t xml:space="preserve"> </w:t>
                  </w:r>
                  <w:r w:rsidRPr="00DE4171">
                    <w:rPr>
                      <w:rFonts w:ascii="Times New Roman" w:hAnsi="Times New Roman" w:cs="Times New Roman"/>
                    </w:rPr>
                    <w:br/>
                    <w:t>HOMEOWNERS' ASSOCIATIONS</w:t>
                  </w:r>
                  <w:r w:rsidRPr="00DE4171">
                    <w:rPr>
                      <w:rFonts w:ascii="Times New Roman" w:hAnsi="Times New Roman" w:cs="Times New Roman"/>
                    </w:rPr>
                    <w:t xml:space="preserve"> </w:t>
                  </w:r>
                </w:p>
                <w:p w14:paraId="17EC8825" w14:textId="629C9DA8" w:rsidR="006410E3" w:rsidRPr="00DE4171" w:rsidRDefault="006410E3" w:rsidP="006410E3">
                  <w:pPr>
                    <w:rPr>
                      <w:rFonts w:ascii="Times New Roman" w:hAnsi="Times New Roman" w:cs="Times New Roman"/>
                      <w:b/>
                      <w:sz w:val="28"/>
                    </w:rPr>
                  </w:pPr>
                  <w:r w:rsidRPr="00DE4171">
                    <w:rPr>
                      <w:rFonts w:ascii="Times New Roman" w:hAnsi="Times New Roman" w:cs="Times New Roman"/>
                      <w:b/>
                      <w:sz w:val="28"/>
                    </w:rPr>
                    <w:t>720.3053</w:t>
                  </w:r>
                  <w:r w:rsidRPr="00DE4171">
                    <w:rPr>
                      <w:rFonts w:ascii="Times New Roman" w:hAnsi="Times New Roman" w:cs="Times New Roman"/>
                      <w:b/>
                      <w:sz w:val="28"/>
                    </w:rPr>
                    <w:t> </w:t>
                  </w:r>
                  <w:r w:rsidRPr="00DE4171">
                    <w:rPr>
                      <w:rFonts w:ascii="Times New Roman" w:hAnsi="Times New Roman" w:cs="Times New Roman"/>
                      <w:b/>
                      <w:sz w:val="28"/>
                    </w:rPr>
                    <w:t xml:space="preserve">Failure to fill vacancies on board of directors </w:t>
                  </w:r>
                  <w:proofErr w:type="gramStart"/>
                  <w:r w:rsidRPr="00DE4171">
                    <w:rPr>
                      <w:rFonts w:ascii="Times New Roman" w:hAnsi="Times New Roman" w:cs="Times New Roman"/>
                      <w:b/>
                      <w:sz w:val="28"/>
                    </w:rPr>
                    <w:t>sufficient</w:t>
                  </w:r>
                  <w:proofErr w:type="gramEnd"/>
                  <w:r w:rsidRPr="00DE4171">
                    <w:rPr>
                      <w:rFonts w:ascii="Times New Roman" w:hAnsi="Times New Roman" w:cs="Times New Roman"/>
                      <w:b/>
                      <w:sz w:val="28"/>
                    </w:rPr>
                    <w:t xml:space="preserve"> to constitute a quorum; appointment of receiver upon petition of </w:t>
                  </w:r>
                  <w:r w:rsidR="00DE4171" w:rsidRPr="00DE4171">
                    <w:rPr>
                      <w:rFonts w:ascii="Times New Roman" w:hAnsi="Times New Roman" w:cs="Times New Roman"/>
                      <w:b/>
                      <w:sz w:val="28"/>
                    </w:rPr>
                    <w:t>member. —</w:t>
                  </w:r>
                </w:p>
                <w:p w14:paraId="682FA09F" w14:textId="77777777" w:rsidR="006410E3" w:rsidRPr="00DE4171" w:rsidRDefault="006410E3" w:rsidP="00DE4171">
                  <w:pPr>
                    <w:spacing w:line="240" w:lineRule="auto"/>
                    <w:rPr>
                      <w:rFonts w:ascii="Times New Roman" w:hAnsi="Times New Roman" w:cs="Times New Roman"/>
                      <w:sz w:val="28"/>
                    </w:rPr>
                  </w:pPr>
                  <w:r w:rsidRPr="00DE4171">
                    <w:rPr>
                      <w:rFonts w:ascii="Times New Roman" w:hAnsi="Times New Roman" w:cs="Times New Roman"/>
                      <w:sz w:val="28"/>
                    </w:rPr>
                    <w:t>(1)</w:t>
                  </w:r>
                  <w:r w:rsidRPr="00DE4171">
                    <w:rPr>
                      <w:rFonts w:ascii="Times New Roman" w:hAnsi="Times New Roman" w:cs="Times New Roman"/>
                      <w:sz w:val="28"/>
                    </w:rPr>
                    <w:t> </w:t>
                  </w:r>
                  <w:r w:rsidRPr="00DE4171">
                    <w:rPr>
                      <w:rFonts w:ascii="Times New Roman" w:hAnsi="Times New Roman" w:cs="Times New Roman"/>
                      <w:sz w:val="28"/>
                    </w:rPr>
                    <w:t xml:space="preserve">If an association fails to fill vacancies on the board of directors </w:t>
                  </w:r>
                  <w:proofErr w:type="gramStart"/>
                  <w:r w:rsidRPr="00DE4171">
                    <w:rPr>
                      <w:rFonts w:ascii="Times New Roman" w:hAnsi="Times New Roman" w:cs="Times New Roman"/>
                      <w:sz w:val="28"/>
                    </w:rPr>
                    <w:t>sufficient</w:t>
                  </w:r>
                  <w:proofErr w:type="gramEnd"/>
                  <w:r w:rsidRPr="00DE4171">
                    <w:rPr>
                      <w:rFonts w:ascii="Times New Roman" w:hAnsi="Times New Roman" w:cs="Times New Roman"/>
                      <w:sz w:val="28"/>
                    </w:rPr>
                    <w:t xml:space="preserve"> to constitute a quorum in accordance with the bylaws, any member may give notice of the member’s intent to apply to the circuit court within whose jurisdiction the association lies for the appointment of a receiver to manage the affairs of the association. The form of the notice shall be as follows:</w:t>
                  </w:r>
                </w:p>
                <w:p w14:paraId="0631E1E9" w14:textId="77777777" w:rsidR="006410E3" w:rsidRPr="006410E3" w:rsidRDefault="006410E3" w:rsidP="006410E3">
                  <w:pPr>
                    <w:jc w:val="center"/>
                    <w:rPr>
                      <w:rFonts w:ascii="Times New Roman" w:hAnsi="Times New Roman" w:cs="Times New Roman"/>
                      <w:sz w:val="24"/>
                    </w:rPr>
                  </w:pPr>
                  <w:r w:rsidRPr="006410E3">
                    <w:rPr>
                      <w:rFonts w:ascii="Times New Roman" w:hAnsi="Times New Roman" w:cs="Times New Roman"/>
                      <w:sz w:val="24"/>
                    </w:rPr>
                    <w:t>NOTICE OF INTENT TO</w:t>
                  </w:r>
                  <w:r w:rsidRPr="006410E3">
                    <w:rPr>
                      <w:rFonts w:ascii="Times New Roman" w:hAnsi="Times New Roman" w:cs="Times New Roman"/>
                      <w:sz w:val="24"/>
                    </w:rPr>
                    <w:br/>
                    <w:t>APPLY FOR RECEIVERSHIP</w:t>
                  </w:r>
                </w:p>
                <w:p w14:paraId="42B45B92" w14:textId="61966A94" w:rsidR="006410E3" w:rsidRPr="006410E3" w:rsidRDefault="006410E3" w:rsidP="006410E3">
                  <w:pPr>
                    <w:rPr>
                      <w:rFonts w:ascii="Times New Roman" w:hAnsi="Times New Roman" w:cs="Times New Roman"/>
                      <w:sz w:val="24"/>
                    </w:rPr>
                  </w:pPr>
                  <w:r w:rsidRPr="006410E3">
                    <w:rPr>
                      <w:rFonts w:ascii="Times New Roman" w:hAnsi="Times New Roman" w:cs="Times New Roman"/>
                      <w:sz w:val="24"/>
                    </w:rPr>
                    <w:t xml:space="preserve">YOU ARE HEREBY NOTIFIED that the undersigned member </w:t>
                  </w:r>
                  <w:proofErr w:type="gramStart"/>
                  <w:r w:rsidRPr="006410E3">
                    <w:rPr>
                      <w:rFonts w:ascii="Times New Roman" w:hAnsi="Times New Roman" w:cs="Times New Roman"/>
                      <w:sz w:val="24"/>
                    </w:rPr>
                    <w:t>of</w:t>
                  </w:r>
                  <w:r w:rsidR="00DE4171" w:rsidRPr="006410E3">
                    <w:rPr>
                      <w:rFonts w:ascii="Times New Roman" w:hAnsi="Times New Roman" w:cs="Times New Roman"/>
                      <w:sz w:val="24"/>
                    </w:rPr>
                    <w:t xml:space="preserve">  (</w:t>
                  </w:r>
                  <w:proofErr w:type="gramEnd"/>
                  <w:r w:rsidRPr="006410E3">
                    <w:rPr>
                      <w:rFonts w:ascii="Times New Roman" w:hAnsi="Times New Roman" w:cs="Times New Roman"/>
                      <w:sz w:val="24"/>
                    </w:rPr>
                    <w:t xml:space="preserve">name of homeowners’ association)   intends to file a petition in the circuit court for appointment of a receiver to manage the affairs of the association on the grounds that the association has failed to fill vacancies on the board of directors sufficient to constitute a quorum. This petition will not be filed if the vacancies are filled within 30 days after the date on which this notice was sent or posted, whichever is later. If a receiver is appointed, the receiver shall have </w:t>
                  </w:r>
                  <w:proofErr w:type="gramStart"/>
                  <w:r w:rsidRPr="006410E3">
                    <w:rPr>
                      <w:rFonts w:ascii="Times New Roman" w:hAnsi="Times New Roman" w:cs="Times New Roman"/>
                      <w:sz w:val="24"/>
                    </w:rPr>
                    <w:t>all of</w:t>
                  </w:r>
                  <w:proofErr w:type="gramEnd"/>
                  <w:r w:rsidRPr="006410E3">
                    <w:rPr>
                      <w:rFonts w:ascii="Times New Roman" w:hAnsi="Times New Roman" w:cs="Times New Roman"/>
                      <w:sz w:val="24"/>
                    </w:rPr>
                    <w:t xml:space="preserve"> the powers of the board and shall be entitled to receive a salary and reimbursement of all costs and attorney’s fees payable from association funds.</w:t>
                  </w:r>
                </w:p>
                <w:p w14:paraId="1C29C529" w14:textId="77777777" w:rsidR="006410E3" w:rsidRPr="006410E3" w:rsidRDefault="006410E3" w:rsidP="006410E3">
                  <w:pPr>
                    <w:rPr>
                      <w:rFonts w:ascii="Times New Roman" w:hAnsi="Times New Roman" w:cs="Times New Roman"/>
                      <w:sz w:val="24"/>
                    </w:rPr>
                  </w:pPr>
                  <w:r w:rsidRPr="006410E3">
                    <w:rPr>
                      <w:rFonts w:ascii="Times New Roman" w:hAnsi="Times New Roman" w:cs="Times New Roman"/>
                      <w:sz w:val="24"/>
                    </w:rPr>
                    <w:t>  (name and address of petitioning member)  </w:t>
                  </w:r>
                </w:p>
                <w:p w14:paraId="097D7690" w14:textId="77777777" w:rsidR="006410E3" w:rsidRPr="006410E3" w:rsidRDefault="006410E3" w:rsidP="006410E3">
                  <w:pPr>
                    <w:rPr>
                      <w:rFonts w:ascii="Times New Roman" w:hAnsi="Times New Roman" w:cs="Times New Roman"/>
                      <w:sz w:val="24"/>
                    </w:rPr>
                  </w:pPr>
                  <w:r w:rsidRPr="006410E3">
                    <w:rPr>
                      <w:rFonts w:ascii="Times New Roman" w:hAnsi="Times New Roman" w:cs="Times New Roman"/>
                      <w:sz w:val="24"/>
                    </w:rPr>
                    <w:t>(2)</w:t>
                  </w:r>
                  <w:r w:rsidRPr="006410E3">
                    <w:rPr>
                      <w:rFonts w:ascii="Times New Roman" w:hAnsi="Times New Roman" w:cs="Times New Roman"/>
                      <w:sz w:val="24"/>
                    </w:rPr>
                    <w:t> </w:t>
                  </w:r>
                  <w:r w:rsidRPr="006410E3">
                    <w:rPr>
                      <w:rFonts w:ascii="Times New Roman" w:hAnsi="Times New Roman" w:cs="Times New Roman"/>
                      <w:sz w:val="24"/>
                    </w:rPr>
                    <w:t>The notice required by subsection (1) must be provided by the member to the association by certified mail or personal delivery, must be posted in a conspicuous place within the homeowners’ association, and must be provided to every member of the association by certified mail or personal delivery. The notice must be posted and mailed or delivered at least 30 days prior to the filing of a petition seeking receivership. Notice by mail to a member shall be sent to the address used by the county property appraiser for notice to the member.</w:t>
                  </w:r>
                </w:p>
                <w:p w14:paraId="2D3A1C6C" w14:textId="77777777" w:rsidR="006410E3" w:rsidRPr="006410E3" w:rsidRDefault="006410E3" w:rsidP="006410E3">
                  <w:pPr>
                    <w:rPr>
                      <w:rFonts w:ascii="Times New Roman" w:hAnsi="Times New Roman" w:cs="Times New Roman"/>
                      <w:sz w:val="24"/>
                    </w:rPr>
                  </w:pPr>
                  <w:r w:rsidRPr="006410E3">
                    <w:rPr>
                      <w:rFonts w:ascii="Times New Roman" w:hAnsi="Times New Roman" w:cs="Times New Roman"/>
                      <w:sz w:val="24"/>
                    </w:rPr>
                    <w:t>(3)</w:t>
                  </w:r>
                  <w:r w:rsidRPr="006410E3">
                    <w:rPr>
                      <w:rFonts w:ascii="Times New Roman" w:hAnsi="Times New Roman" w:cs="Times New Roman"/>
                      <w:sz w:val="24"/>
                    </w:rPr>
                    <w:t> </w:t>
                  </w:r>
                  <w:r w:rsidRPr="006410E3">
                    <w:rPr>
                      <w:rFonts w:ascii="Times New Roman" w:hAnsi="Times New Roman" w:cs="Times New Roman"/>
                      <w:sz w:val="24"/>
                    </w:rPr>
                    <w:t>If the association fails to fill the vacancies within 30 days after the notice required by subsection (1) is posted and mailed or delivered, the member may proceed with the petition.</w:t>
                  </w:r>
                </w:p>
                <w:p w14:paraId="29613839" w14:textId="77777777" w:rsidR="006410E3" w:rsidRPr="006410E3" w:rsidRDefault="006410E3" w:rsidP="006410E3">
                  <w:pPr>
                    <w:rPr>
                      <w:rFonts w:ascii="Times New Roman" w:hAnsi="Times New Roman" w:cs="Times New Roman"/>
                      <w:sz w:val="24"/>
                    </w:rPr>
                  </w:pPr>
                  <w:r w:rsidRPr="006410E3">
                    <w:rPr>
                      <w:rFonts w:ascii="Times New Roman" w:hAnsi="Times New Roman" w:cs="Times New Roman"/>
                      <w:sz w:val="24"/>
                    </w:rPr>
                    <w:t>(4)</w:t>
                  </w:r>
                  <w:r w:rsidRPr="006410E3">
                    <w:rPr>
                      <w:rFonts w:ascii="Times New Roman" w:hAnsi="Times New Roman" w:cs="Times New Roman"/>
                      <w:sz w:val="24"/>
                    </w:rPr>
                    <w:t> </w:t>
                  </w:r>
                  <w:r w:rsidRPr="006410E3">
                    <w:rPr>
                      <w:rFonts w:ascii="Times New Roman" w:hAnsi="Times New Roman" w:cs="Times New Roman"/>
                      <w:sz w:val="24"/>
                    </w:rPr>
                    <w:t xml:space="preserve">If a receiver is appointed, all members shall be given written notice of such appointment as provided in </w:t>
                  </w:r>
                  <w:r w:rsidRPr="00DE4171">
                    <w:rPr>
                      <w:rFonts w:ascii="Times New Roman" w:hAnsi="Times New Roman" w:cs="Times New Roman"/>
                      <w:sz w:val="24"/>
                    </w:rPr>
                    <w:t xml:space="preserve">s. </w:t>
                  </w:r>
                  <w:hyperlink r:id="rId8" w:history="1">
                    <w:r w:rsidRPr="00DE4171">
                      <w:rPr>
                        <w:rStyle w:val="Hyperlink"/>
                        <w:rFonts w:ascii="Times New Roman" w:hAnsi="Times New Roman" w:cs="Times New Roman"/>
                        <w:color w:val="auto"/>
                        <w:sz w:val="24"/>
                      </w:rPr>
                      <w:t>720.313</w:t>
                    </w:r>
                  </w:hyperlink>
                  <w:r w:rsidRPr="00DE4171">
                    <w:rPr>
                      <w:rFonts w:ascii="Times New Roman" w:hAnsi="Times New Roman" w:cs="Times New Roman"/>
                      <w:sz w:val="24"/>
                    </w:rPr>
                    <w:t>.</w:t>
                  </w:r>
                </w:p>
                <w:p w14:paraId="27109F34" w14:textId="589CE348" w:rsidR="006410E3" w:rsidRPr="006410E3" w:rsidRDefault="006410E3" w:rsidP="00DE4171">
                  <w:pPr>
                    <w:rPr>
                      <w:rFonts w:ascii="Times New Roman" w:hAnsi="Times New Roman" w:cs="Times New Roman"/>
                      <w:sz w:val="24"/>
                    </w:rPr>
                  </w:pPr>
                  <w:r w:rsidRPr="006410E3">
                    <w:rPr>
                      <w:rFonts w:ascii="Times New Roman" w:hAnsi="Times New Roman" w:cs="Times New Roman"/>
                      <w:sz w:val="24"/>
                    </w:rPr>
                    <w:t>(5)</w:t>
                  </w:r>
                  <w:r w:rsidRPr="006410E3">
                    <w:rPr>
                      <w:rFonts w:ascii="Times New Roman" w:hAnsi="Times New Roman" w:cs="Times New Roman"/>
                      <w:sz w:val="24"/>
                    </w:rPr>
                    <w:t> </w:t>
                  </w:r>
                  <w:r w:rsidRPr="006410E3">
                    <w:rPr>
                      <w:rFonts w:ascii="Times New Roman" w:hAnsi="Times New Roman" w:cs="Times New Roman"/>
                      <w:sz w:val="24"/>
                    </w:rPr>
                    <w:t xml:space="preserve">The association shall be responsible for the salary of the receiver, court costs, and attorney’s fees. The receiver shall have all powers and duties of a duly constituted board of directors and shall serve until the association fills vacancies on the board </w:t>
                  </w:r>
                  <w:proofErr w:type="gramStart"/>
                  <w:r w:rsidRPr="006410E3">
                    <w:rPr>
                      <w:rFonts w:ascii="Times New Roman" w:hAnsi="Times New Roman" w:cs="Times New Roman"/>
                      <w:sz w:val="24"/>
                    </w:rPr>
                    <w:t>sufficient</w:t>
                  </w:r>
                  <w:proofErr w:type="gramEnd"/>
                  <w:r w:rsidRPr="006410E3">
                    <w:rPr>
                      <w:rFonts w:ascii="Times New Roman" w:hAnsi="Times New Roman" w:cs="Times New Roman"/>
                      <w:sz w:val="24"/>
                    </w:rPr>
                    <w:t xml:space="preserve"> to constitute a quorum and the court relieves the receiver of the appointment.</w:t>
                  </w:r>
                  <w:r w:rsidR="00DE4171">
                    <w:rPr>
                      <w:rFonts w:ascii="Times New Roman" w:hAnsi="Times New Roman" w:cs="Times New Roman"/>
                      <w:sz w:val="24"/>
                    </w:rPr>
                    <w:t xml:space="preserve">  </w:t>
                  </w:r>
                  <w:proofErr w:type="gramStart"/>
                  <w:r w:rsidRPr="006410E3">
                    <w:rPr>
                      <w:rFonts w:ascii="Times New Roman" w:hAnsi="Times New Roman" w:cs="Times New Roman"/>
                      <w:sz w:val="24"/>
                    </w:rPr>
                    <w:t>History</w:t>
                  </w:r>
                  <w:proofErr w:type="gramEnd"/>
                  <w:r w:rsidRPr="006410E3">
                    <w:rPr>
                      <w:rFonts w:ascii="Times New Roman" w:hAnsi="Times New Roman" w:cs="Times New Roman"/>
                      <w:sz w:val="24"/>
                    </w:rPr>
                    <w:t xml:space="preserve">.—s. 9, </w:t>
                  </w:r>
                  <w:proofErr w:type="spellStart"/>
                  <w:r w:rsidRPr="006410E3">
                    <w:rPr>
                      <w:rFonts w:ascii="Times New Roman" w:hAnsi="Times New Roman" w:cs="Times New Roman"/>
                      <w:sz w:val="24"/>
                    </w:rPr>
                    <w:t>ch.</w:t>
                  </w:r>
                  <w:proofErr w:type="spellEnd"/>
                  <w:r w:rsidRPr="006410E3">
                    <w:rPr>
                      <w:rFonts w:ascii="Times New Roman" w:hAnsi="Times New Roman" w:cs="Times New Roman"/>
                      <w:sz w:val="24"/>
                    </w:rPr>
                    <w:t xml:space="preserve"> 2008-202.</w:t>
                  </w:r>
                </w:p>
              </w:tc>
            </w:tr>
          </w:tbl>
          <w:p w14:paraId="0F4E9DB6" w14:textId="77777777" w:rsidR="006410E3" w:rsidRPr="006410E3" w:rsidRDefault="006410E3" w:rsidP="006410E3">
            <w:pPr>
              <w:rPr>
                <w:rFonts w:ascii="Times New Roman" w:hAnsi="Times New Roman" w:cs="Times New Roman"/>
                <w:sz w:val="24"/>
              </w:rPr>
            </w:pPr>
          </w:p>
        </w:tc>
      </w:tr>
    </w:tbl>
    <w:p w14:paraId="0C62DF13" w14:textId="77777777" w:rsidR="00085A5E" w:rsidRPr="006410E3" w:rsidRDefault="00085A5E" w:rsidP="006410E3">
      <w:pPr>
        <w:rPr>
          <w:rFonts w:ascii="Times New Roman" w:hAnsi="Times New Roman" w:cs="Times New Roman"/>
        </w:rPr>
      </w:pPr>
    </w:p>
    <w:sectPr w:rsidR="00085A5E" w:rsidRPr="006410E3" w:rsidSect="00DE4171">
      <w:footerReference w:type="default" r:id="rId9"/>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F6B0" w14:textId="77777777" w:rsidR="00DE4171" w:rsidRDefault="00DE4171" w:rsidP="00DE4171">
      <w:pPr>
        <w:spacing w:after="0" w:line="240" w:lineRule="auto"/>
      </w:pPr>
      <w:r>
        <w:separator/>
      </w:r>
    </w:p>
  </w:endnote>
  <w:endnote w:type="continuationSeparator" w:id="0">
    <w:p w14:paraId="772B3698" w14:textId="77777777" w:rsidR="00DE4171" w:rsidRDefault="00DE4171" w:rsidP="00DE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E570" w14:textId="77777777" w:rsidR="00DE4171" w:rsidRDefault="00DE4171">
    <w:pPr>
      <w:pStyle w:val="Footer"/>
    </w:pPr>
  </w:p>
  <w:p w14:paraId="61941F43" w14:textId="7AF52A21" w:rsidR="00DE4171" w:rsidRDefault="00DE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3FEE" w14:textId="77777777" w:rsidR="00DE4171" w:rsidRDefault="00DE4171" w:rsidP="00DE4171">
      <w:pPr>
        <w:spacing w:after="0" w:line="240" w:lineRule="auto"/>
      </w:pPr>
      <w:r>
        <w:separator/>
      </w:r>
    </w:p>
  </w:footnote>
  <w:footnote w:type="continuationSeparator" w:id="0">
    <w:p w14:paraId="78D650C2" w14:textId="77777777" w:rsidR="00DE4171" w:rsidRDefault="00DE4171" w:rsidP="00DE4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10E3"/>
    <w:rsid w:val="00085A5E"/>
    <w:rsid w:val="003B4324"/>
    <w:rsid w:val="00584134"/>
    <w:rsid w:val="006410E3"/>
    <w:rsid w:val="0086378D"/>
    <w:rsid w:val="008D396F"/>
    <w:rsid w:val="00B96070"/>
    <w:rsid w:val="00DE4171"/>
    <w:rsid w:val="00E8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EFA6"/>
  <w15:chartTrackingRefBased/>
  <w15:docId w15:val="{F62A2750-2DCE-4DD9-BD55-0295266B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10E3"/>
    <w:pPr>
      <w:spacing w:before="100" w:beforeAutospacing="1" w:after="100" w:afterAutospacing="1" w:line="288" w:lineRule="atLeast"/>
      <w:outlineLvl w:val="1"/>
    </w:pPr>
    <w:rPr>
      <w:rFonts w:ascii="Georgia" w:eastAsia="Times New Roman" w:hAnsi="Georgia" w:cs="Times New Roman"/>
      <w:color w:val="000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134"/>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EnvelopeReturn">
    <w:name w:val="envelope return"/>
    <w:basedOn w:val="Normal"/>
    <w:uiPriority w:val="99"/>
    <w:semiHidden/>
    <w:unhideWhenUsed/>
    <w:rsid w:val="00E82132"/>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6410E3"/>
    <w:rPr>
      <w:rFonts w:ascii="Georgia" w:eastAsia="Times New Roman" w:hAnsi="Georgia" w:cs="Times New Roman"/>
      <w:color w:val="000080"/>
      <w:sz w:val="30"/>
      <w:szCs w:val="30"/>
    </w:rPr>
  </w:style>
  <w:style w:type="character" w:styleId="Hyperlink">
    <w:name w:val="Hyperlink"/>
    <w:basedOn w:val="DefaultParagraphFont"/>
    <w:uiPriority w:val="99"/>
    <w:unhideWhenUsed/>
    <w:rsid w:val="006410E3"/>
    <w:rPr>
      <w:color w:val="0000FF"/>
      <w:u w:val="single"/>
    </w:rPr>
  </w:style>
  <w:style w:type="paragraph" w:customStyle="1" w:styleId="aligncenter">
    <w:name w:val="aligncenter"/>
    <w:basedOn w:val="Normal"/>
    <w:rsid w:val="006410E3"/>
    <w:pPr>
      <w:spacing w:after="0" w:line="360" w:lineRule="atLeast"/>
      <w:jc w:val="center"/>
    </w:pPr>
    <w:rPr>
      <w:rFonts w:ascii="Trebuchet MS" w:eastAsia="Times New Roman" w:hAnsi="Trebuchet MS" w:cs="Times New Roman"/>
      <w:color w:val="000080"/>
      <w:sz w:val="20"/>
      <w:szCs w:val="20"/>
    </w:rPr>
  </w:style>
  <w:style w:type="paragraph" w:customStyle="1" w:styleId="blockflush">
    <w:name w:val="blockflush"/>
    <w:basedOn w:val="Normal"/>
    <w:rsid w:val="006410E3"/>
    <w:pPr>
      <w:spacing w:after="0" w:line="360" w:lineRule="atLeast"/>
      <w:ind w:left="240" w:right="240"/>
    </w:pPr>
    <w:rPr>
      <w:rFonts w:ascii="Trebuchet MS" w:eastAsia="Times New Roman" w:hAnsi="Trebuchet MS" w:cs="Times New Roman"/>
      <w:color w:val="000080"/>
      <w:sz w:val="20"/>
      <w:szCs w:val="20"/>
    </w:rPr>
  </w:style>
  <w:style w:type="character" w:customStyle="1" w:styleId="text">
    <w:name w:val="text"/>
    <w:basedOn w:val="DefaultParagraphFont"/>
    <w:rsid w:val="006410E3"/>
    <w:rPr>
      <w:rFonts w:ascii="Trebuchet MS" w:hAnsi="Trebuchet MS" w:hint="default"/>
      <w:vanish w:val="0"/>
      <w:webHidden w:val="0"/>
      <w:sz w:val="20"/>
      <w:szCs w:val="20"/>
      <w:specVanish w:val="0"/>
    </w:rPr>
  </w:style>
  <w:style w:type="character" w:customStyle="1" w:styleId="directions">
    <w:name w:val="directions"/>
    <w:basedOn w:val="DefaultParagraphFont"/>
    <w:rsid w:val="006410E3"/>
    <w:rPr>
      <w:rFonts w:ascii="Trebuchet MS" w:hAnsi="Trebuchet MS" w:hint="default"/>
      <w:sz w:val="18"/>
      <w:szCs w:val="18"/>
      <w:u w:val="single"/>
    </w:rPr>
  </w:style>
  <w:style w:type="character" w:customStyle="1" w:styleId="historytitle">
    <w:name w:val="historytitle"/>
    <w:basedOn w:val="DefaultParagraphFont"/>
    <w:rsid w:val="006410E3"/>
    <w:rPr>
      <w:rFonts w:ascii="Trebuchet MS" w:hAnsi="Trebuchet MS" w:hint="default"/>
      <w:b/>
      <w:bCs/>
      <w:vanish w:val="0"/>
      <w:webHidden w:val="0"/>
      <w:sz w:val="20"/>
      <w:szCs w:val="20"/>
      <w:specVanish w:val="0"/>
    </w:rPr>
  </w:style>
  <w:style w:type="character" w:customStyle="1" w:styleId="emdash1">
    <w:name w:val="emdash1"/>
    <w:basedOn w:val="DefaultParagraphFont"/>
    <w:rsid w:val="006410E3"/>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6410E3"/>
    <w:rPr>
      <w:rFonts w:ascii="Trebuchet MS" w:hAnsi="Trebuchet MS" w:hint="default"/>
      <w:sz w:val="20"/>
      <w:szCs w:val="20"/>
    </w:rPr>
  </w:style>
  <w:style w:type="character" w:customStyle="1" w:styleId="emdash3">
    <w:name w:val="emdash3"/>
    <w:basedOn w:val="DefaultParagraphFont"/>
    <w:rsid w:val="006410E3"/>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6410E3"/>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6410E3"/>
    <w:rPr>
      <w:rFonts w:ascii="Trebuchet MS" w:hAnsi="Trebuchet MS" w:hint="default"/>
      <w:sz w:val="20"/>
      <w:szCs w:val="20"/>
    </w:rPr>
  </w:style>
  <w:style w:type="character" w:customStyle="1" w:styleId="sectionbody">
    <w:name w:val="sectionbody"/>
    <w:basedOn w:val="DefaultParagraphFont"/>
    <w:rsid w:val="006410E3"/>
    <w:rPr>
      <w:rFonts w:ascii="Trebuchet MS" w:hAnsi="Trebuchet MS" w:hint="default"/>
      <w:sz w:val="20"/>
      <w:szCs w:val="20"/>
    </w:rPr>
  </w:style>
  <w:style w:type="character" w:customStyle="1" w:styleId="number">
    <w:name w:val="number"/>
    <w:basedOn w:val="DefaultParagraphFont"/>
    <w:rsid w:val="006410E3"/>
    <w:rPr>
      <w:rFonts w:ascii="Trebuchet MS" w:hAnsi="Trebuchet MS" w:hint="default"/>
      <w:sz w:val="20"/>
      <w:szCs w:val="20"/>
    </w:rPr>
  </w:style>
  <w:style w:type="paragraph" w:styleId="Header">
    <w:name w:val="header"/>
    <w:basedOn w:val="Normal"/>
    <w:link w:val="HeaderChar"/>
    <w:uiPriority w:val="99"/>
    <w:unhideWhenUsed/>
    <w:rsid w:val="00DE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71"/>
  </w:style>
  <w:style w:type="paragraph" w:styleId="Footer">
    <w:name w:val="footer"/>
    <w:basedOn w:val="Normal"/>
    <w:link w:val="FooterChar"/>
    <w:uiPriority w:val="99"/>
    <w:unhideWhenUsed/>
    <w:rsid w:val="00DE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3139">
      <w:bodyDiv w:val="1"/>
      <w:marLeft w:val="0"/>
      <w:marRight w:val="0"/>
      <w:marTop w:val="0"/>
      <w:marBottom w:val="0"/>
      <w:divBdr>
        <w:top w:val="none" w:sz="0" w:space="0" w:color="auto"/>
        <w:left w:val="none" w:sz="0" w:space="0" w:color="auto"/>
        <w:bottom w:val="none" w:sz="0" w:space="0" w:color="auto"/>
        <w:right w:val="none" w:sz="0" w:space="0" w:color="auto"/>
      </w:divBdr>
      <w:divsChild>
        <w:div w:id="1702973989">
          <w:marLeft w:val="0"/>
          <w:marRight w:val="0"/>
          <w:marTop w:val="0"/>
          <w:marBottom w:val="0"/>
          <w:divBdr>
            <w:top w:val="none" w:sz="0" w:space="0" w:color="auto"/>
            <w:left w:val="none" w:sz="0" w:space="0" w:color="auto"/>
            <w:bottom w:val="none" w:sz="0" w:space="0" w:color="auto"/>
            <w:right w:val="none" w:sz="0" w:space="0" w:color="auto"/>
          </w:divBdr>
          <w:divsChild>
            <w:div w:id="571702410">
              <w:marLeft w:val="0"/>
              <w:marRight w:val="0"/>
              <w:marTop w:val="0"/>
              <w:marBottom w:val="0"/>
              <w:divBdr>
                <w:top w:val="none" w:sz="0" w:space="0" w:color="auto"/>
                <w:left w:val="none" w:sz="0" w:space="0" w:color="auto"/>
                <w:bottom w:val="none" w:sz="0" w:space="0" w:color="auto"/>
                <w:right w:val="none" w:sz="0" w:space="0" w:color="auto"/>
              </w:divBdr>
              <w:divsChild>
                <w:div w:id="1947612337">
                  <w:marLeft w:val="0"/>
                  <w:marRight w:val="0"/>
                  <w:marTop w:val="0"/>
                  <w:marBottom w:val="0"/>
                  <w:divBdr>
                    <w:top w:val="none" w:sz="0" w:space="0" w:color="auto"/>
                    <w:left w:val="none" w:sz="0" w:space="0" w:color="auto"/>
                    <w:bottom w:val="none" w:sz="0" w:space="0" w:color="auto"/>
                    <w:right w:val="none" w:sz="0" w:space="0" w:color="auto"/>
                  </w:divBdr>
                </w:div>
                <w:div w:id="1907522568">
                  <w:marLeft w:val="0"/>
                  <w:marRight w:val="0"/>
                  <w:marTop w:val="0"/>
                  <w:marBottom w:val="0"/>
                  <w:divBdr>
                    <w:top w:val="none" w:sz="0" w:space="0" w:color="auto"/>
                    <w:left w:val="none" w:sz="0" w:space="0" w:color="auto"/>
                    <w:bottom w:val="none" w:sz="0" w:space="0" w:color="auto"/>
                    <w:right w:val="none" w:sz="0" w:space="0" w:color="auto"/>
                  </w:divBdr>
                </w:div>
                <w:div w:id="1703818039">
                  <w:marLeft w:val="0"/>
                  <w:marRight w:val="0"/>
                  <w:marTop w:val="0"/>
                  <w:marBottom w:val="0"/>
                  <w:divBdr>
                    <w:top w:val="none" w:sz="0" w:space="0" w:color="auto"/>
                    <w:left w:val="none" w:sz="0" w:space="0" w:color="auto"/>
                    <w:bottom w:val="none" w:sz="0" w:space="0" w:color="auto"/>
                    <w:right w:val="none" w:sz="0" w:space="0" w:color="auto"/>
                  </w:divBdr>
                </w:div>
                <w:div w:id="1425960736">
                  <w:marLeft w:val="0"/>
                  <w:marRight w:val="0"/>
                  <w:marTop w:val="0"/>
                  <w:marBottom w:val="0"/>
                  <w:divBdr>
                    <w:top w:val="none" w:sz="0" w:space="0" w:color="auto"/>
                    <w:left w:val="none" w:sz="0" w:space="0" w:color="auto"/>
                    <w:bottom w:val="none" w:sz="0" w:space="0" w:color="auto"/>
                    <w:right w:val="none" w:sz="0" w:space="0" w:color="auto"/>
                  </w:divBdr>
                </w:div>
                <w:div w:id="1308782172">
                  <w:marLeft w:val="0"/>
                  <w:marRight w:val="0"/>
                  <w:marTop w:val="0"/>
                  <w:marBottom w:val="0"/>
                  <w:divBdr>
                    <w:top w:val="none" w:sz="0" w:space="0" w:color="auto"/>
                    <w:left w:val="none" w:sz="0" w:space="0" w:color="auto"/>
                    <w:bottom w:val="none" w:sz="0" w:space="0" w:color="auto"/>
                    <w:right w:val="none" w:sz="0" w:space="0" w:color="auto"/>
                  </w:divBdr>
                </w:div>
                <w:div w:id="1837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720.313&amp;URL=0700-0799/0720/Sections/0720.313.html" TargetMode="External"/><Relationship Id="rId3" Type="http://schemas.openxmlformats.org/officeDocument/2006/relationships/webSettings" Target="webSettings.xml"/><Relationship Id="rId7" Type="http://schemas.openxmlformats.org/officeDocument/2006/relationships/hyperlink" Target="http://www.leg.state.fl.us/statutes/index.cfm?App_mode=Display_Statute&amp;URL=0700-0799/0720/0720Content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Index&amp;Title_Request=X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dc:creator>
  <cp:keywords/>
  <dc:description/>
  <cp:lastModifiedBy>Rhoda</cp:lastModifiedBy>
  <cp:revision>2</cp:revision>
  <dcterms:created xsi:type="dcterms:W3CDTF">2018-10-28T15:39:00Z</dcterms:created>
  <dcterms:modified xsi:type="dcterms:W3CDTF">2018-10-28T15:52:00Z</dcterms:modified>
</cp:coreProperties>
</file>